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896E" w14:textId="67F24CC2" w:rsidR="00DD5B7A" w:rsidRPr="00B1779C" w:rsidRDefault="00DD5B7A" w:rsidP="00EB0187">
      <w:pPr>
        <w:spacing w:line="360" w:lineRule="auto"/>
        <w:rPr>
          <w:rFonts w:ascii="Arial Nova Light" w:hAnsi="Arial Nova Light"/>
          <w:sz w:val="24"/>
          <w:szCs w:val="24"/>
        </w:rPr>
      </w:pPr>
    </w:p>
    <w:tbl>
      <w:tblPr>
        <w:tblpPr w:leftFromText="141" w:rightFromText="141" w:vertAnchor="text" w:horzAnchor="margin" w:tblpXSpec="right" w:tblpY="-397"/>
        <w:tblOverlap w:val="never"/>
        <w:tblW w:w="0" w:type="auto"/>
        <w:tblLook w:val="01E0" w:firstRow="1" w:lastRow="1" w:firstColumn="1" w:lastColumn="1" w:noHBand="0" w:noVBand="0"/>
      </w:tblPr>
      <w:tblGrid>
        <w:gridCol w:w="5108"/>
      </w:tblGrid>
      <w:tr w:rsidR="00F10613" w:rsidRPr="00B1779C" w14:paraId="09855883" w14:textId="77777777" w:rsidTr="00AD2EC6">
        <w:trPr>
          <w:trHeight w:val="977"/>
        </w:trPr>
        <w:tc>
          <w:tcPr>
            <w:tcW w:w="5108" w:type="dxa"/>
          </w:tcPr>
          <w:p w14:paraId="1118F836" w14:textId="7E935366" w:rsidR="00F10613" w:rsidRPr="00B1779C" w:rsidRDefault="00AD2EC6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JUICIO PARA LA PROTECCIÓN DE LOS DERECHOS POLÍTICO ELECTORALES DE</w:t>
            </w:r>
            <w:r w:rsidR="000D38A3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L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 CIUDADAN</w:t>
            </w:r>
            <w:r w:rsidR="000D38A3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O</w:t>
            </w:r>
          </w:p>
          <w:p w14:paraId="05F6F9CD" w14:textId="34482BC8" w:rsidR="00F10613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Expediente: 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TEEA-</w:t>
            </w:r>
            <w:r w:rsidR="00AD2EC6"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JDC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-</w:t>
            </w:r>
            <w:r w:rsidR="00D65BAE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023</w:t>
            </w:r>
            <w:r w:rsidRPr="00B1779C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/</w:t>
            </w:r>
            <w:r w:rsidR="00D65BAE">
              <w:rPr>
                <w:rFonts w:ascii="Arial Nova Light" w:eastAsia="Times New Roman" w:hAnsi="Arial Nova Light" w:cs="Arial"/>
                <w:sz w:val="24"/>
                <w:szCs w:val="24"/>
                <w:lang w:val="es-ES_tradnl" w:eastAsia="es-ES"/>
              </w:rPr>
              <w:t>2021.</w:t>
            </w:r>
          </w:p>
          <w:p w14:paraId="5A182D05" w14:textId="00A8CF31" w:rsidR="00151729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Promovente</w:t>
            </w:r>
            <w:r w:rsidR="001D51BB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s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:</w:t>
            </w:r>
            <w:r w:rsidR="001D51BB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151729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A334C1" w:rsidRPr="00B1779C">
              <w:rPr>
                <w:rFonts w:ascii="Arial Nova Light" w:hAnsi="Arial Nova Light" w:cs="Arial"/>
                <w:sz w:val="24"/>
                <w:szCs w:val="24"/>
              </w:rPr>
              <w:t>C.</w:t>
            </w:r>
            <w:r w:rsidR="00AD2EC6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D65BAE">
              <w:rPr>
                <w:rFonts w:ascii="Arial Nova Light" w:hAnsi="Arial Nova Light" w:cs="Arial"/>
                <w:sz w:val="24"/>
                <w:szCs w:val="24"/>
              </w:rPr>
              <w:t>José de Jesús Pérez Cabrera</w:t>
            </w:r>
          </w:p>
          <w:p w14:paraId="3694E797" w14:textId="0F143F5D" w:rsidR="004F4F99" w:rsidRPr="00B1779C" w:rsidRDefault="00F10613" w:rsidP="00EB0187">
            <w:pPr>
              <w:spacing w:after="0" w:line="360" w:lineRule="auto"/>
              <w:ind w:left="604"/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Autoridad </w:t>
            </w:r>
            <w:r w:rsidR="00CC5D41"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>r</w:t>
            </w:r>
            <w:r w:rsidRPr="00B1779C">
              <w:rPr>
                <w:rFonts w:ascii="Arial Nova Light" w:eastAsia="Times New Roman" w:hAnsi="Arial Nova Light" w:cs="Arial"/>
                <w:b/>
                <w:sz w:val="24"/>
                <w:szCs w:val="24"/>
                <w:lang w:val="es-ES_tradnl" w:eastAsia="es-ES"/>
              </w:rPr>
              <w:t xml:space="preserve">esponsable: </w:t>
            </w:r>
            <w:r w:rsidR="00151729" w:rsidRPr="00B1779C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  <w:r w:rsidR="00D65BAE">
              <w:rPr>
                <w:rFonts w:ascii="Arial Nova Light" w:hAnsi="Arial Nova Light" w:cs="Arial"/>
                <w:sz w:val="24"/>
                <w:szCs w:val="24"/>
              </w:rPr>
              <w:t xml:space="preserve">CG del IEE </w:t>
            </w:r>
          </w:p>
        </w:tc>
      </w:tr>
    </w:tbl>
    <w:p w14:paraId="5BA14619" w14:textId="77777777" w:rsidR="00F10613" w:rsidRPr="00B1779C" w:rsidRDefault="00F10613" w:rsidP="00EB018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550B02E0" w14:textId="77777777" w:rsidR="00F10613" w:rsidRPr="00B1779C" w:rsidRDefault="00F10613" w:rsidP="00EB018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14:paraId="227A2464" w14:textId="77777777" w:rsidR="00F10613" w:rsidRPr="00B1779C" w:rsidRDefault="00F10613" w:rsidP="00EB0187">
      <w:pPr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</w:p>
    <w:p w14:paraId="760AE1B0" w14:textId="77777777" w:rsidR="00AD2EC6" w:rsidRPr="00B1779C" w:rsidRDefault="00AD2EC6" w:rsidP="00EB0187">
      <w:pPr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</w:p>
    <w:p w14:paraId="0BB07B73" w14:textId="26279048" w:rsidR="00F10613" w:rsidRPr="00B1779C" w:rsidRDefault="00F10613" w:rsidP="00EB0187">
      <w:pPr>
        <w:spacing w:before="100" w:beforeAutospacing="1" w:after="100" w:afterAutospacing="1" w:line="360" w:lineRule="auto"/>
        <w:jc w:val="right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Aguascalientes, Aguascalientes, 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veintiséis</w:t>
      </w:r>
      <w:r w:rsidR="00EF678D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de 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marzo</w:t>
      </w:r>
      <w:r w:rsidR="009D4949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del dos </w:t>
      </w:r>
      <w:proofErr w:type="gramStart"/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mil </w:t>
      </w:r>
      <w:r w:rsidR="00CF0222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veint</w:t>
      </w:r>
      <w:r w:rsid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iuno</w:t>
      </w:r>
      <w:proofErr w:type="gramEnd"/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.</w:t>
      </w:r>
    </w:p>
    <w:p w14:paraId="0C7C908B" w14:textId="56D6D785" w:rsidR="00F10613" w:rsidRPr="00B1779C" w:rsidRDefault="001D51BB" w:rsidP="00EB0187">
      <w:pPr>
        <w:spacing w:before="100" w:beforeAutospacing="1" w:after="100" w:afterAutospacing="1" w:line="360" w:lineRule="auto"/>
        <w:jc w:val="both"/>
        <w:rPr>
          <w:rFonts w:ascii="Arial Nova Light" w:hAnsi="Arial Nova Light" w:cs="Arial"/>
          <w:b/>
          <w:sz w:val="24"/>
          <w:szCs w:val="24"/>
        </w:rPr>
      </w:pPr>
      <w:bookmarkStart w:id="0" w:name="_Hlk500505423"/>
      <w:r w:rsidRPr="00B1779C">
        <w:rPr>
          <w:rFonts w:ascii="Arial Nova Light" w:hAnsi="Arial Nova Light" w:cs="Arial"/>
          <w:sz w:val="24"/>
          <w:szCs w:val="24"/>
        </w:rPr>
        <w:t>El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Secretar</w:t>
      </w:r>
      <w:r w:rsidR="00CC5D41" w:rsidRPr="00B1779C">
        <w:rPr>
          <w:rFonts w:ascii="Arial Nova Light" w:hAnsi="Arial Nova Light" w:cs="Arial"/>
          <w:sz w:val="24"/>
          <w:szCs w:val="24"/>
        </w:rPr>
        <w:t>io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de Estudio</w:t>
      </w:r>
      <w:r w:rsidR="00B1779C">
        <w:rPr>
          <w:rStyle w:val="Refdenotaalpie"/>
          <w:rFonts w:ascii="Arial Nova Light" w:hAnsi="Arial Nova Light" w:cs="Arial"/>
          <w:sz w:val="24"/>
          <w:szCs w:val="24"/>
        </w:rPr>
        <w:footnoteReference w:id="1"/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, da cuenta a la Magistrada Instructora con el </w:t>
      </w:r>
      <w:r w:rsidR="00CC5D41" w:rsidRPr="00B1779C">
        <w:rPr>
          <w:rFonts w:ascii="Arial Nova Light" w:hAnsi="Arial Nova Light" w:cs="Arial"/>
          <w:sz w:val="24"/>
          <w:szCs w:val="24"/>
        </w:rPr>
        <w:t>cumplimiento que se recibió en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la Oficialía de Partes de</w:t>
      </w:r>
      <w:r w:rsidR="00CC5D41" w:rsidRPr="00B1779C">
        <w:rPr>
          <w:rFonts w:ascii="Arial Nova Light" w:hAnsi="Arial Nova Light" w:cs="Arial"/>
          <w:sz w:val="24"/>
          <w:szCs w:val="24"/>
        </w:rPr>
        <w:t xml:space="preserve"> este </w:t>
      </w:r>
      <w:r w:rsidR="0064790A" w:rsidRPr="00B1779C">
        <w:rPr>
          <w:rFonts w:ascii="Arial Nova Light" w:hAnsi="Arial Nova Light" w:cs="Arial"/>
          <w:sz w:val="24"/>
          <w:szCs w:val="24"/>
        </w:rPr>
        <w:t>Tribunal</w:t>
      </w:r>
      <w:r w:rsidR="00CC5D41" w:rsidRPr="00B1779C">
        <w:rPr>
          <w:rFonts w:ascii="Arial Nova Light" w:hAnsi="Arial Nova Light" w:cs="Arial"/>
          <w:sz w:val="24"/>
          <w:szCs w:val="24"/>
        </w:rPr>
        <w:t>,</w:t>
      </w:r>
      <w:r w:rsidR="0064790A" w:rsidRPr="00B1779C">
        <w:rPr>
          <w:rFonts w:ascii="Arial Nova Light" w:hAnsi="Arial Nova Light" w:cs="Arial"/>
          <w:sz w:val="24"/>
          <w:szCs w:val="24"/>
        </w:rPr>
        <w:t xml:space="preserve"> </w:t>
      </w:r>
      <w:r w:rsidR="00F10613" w:rsidRPr="00B1779C">
        <w:rPr>
          <w:rFonts w:ascii="Arial Nova Light" w:hAnsi="Arial Nova Light" w:cs="Arial"/>
          <w:sz w:val="24"/>
          <w:szCs w:val="24"/>
        </w:rPr>
        <w:t>y con fundamento los artículos 17 de la Constitución Federal, 298, 311, 313, 354 y 360 del Código Electoral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2"/>
      </w:r>
      <w:r w:rsidR="00F10613" w:rsidRPr="00B1779C">
        <w:rPr>
          <w:rFonts w:ascii="Arial Nova Light" w:hAnsi="Arial Nova Light" w:cs="Arial"/>
          <w:sz w:val="24"/>
          <w:szCs w:val="24"/>
        </w:rPr>
        <w:t>; 102, 105, fracción II, incisos a), c) y d), 111, 112 y 113 del Reglamento Interior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3"/>
      </w:r>
      <w:r w:rsidR="00F10613" w:rsidRPr="00B1779C">
        <w:rPr>
          <w:rFonts w:ascii="Arial Nova Light" w:hAnsi="Arial Nova Light" w:cs="Arial"/>
          <w:sz w:val="24"/>
          <w:szCs w:val="24"/>
        </w:rPr>
        <w:t>, así como 1º, 2º, 3º, 4º, 6º, 7º fracción II, 8º, 9º, 10º fracción IV y 11 de los Lineamientos</w:t>
      </w:r>
      <w:r w:rsidR="00F10613" w:rsidRPr="00B1779C">
        <w:rPr>
          <w:rStyle w:val="Refdenotaalpie"/>
          <w:rFonts w:ascii="Arial Nova Light" w:hAnsi="Arial Nova Light" w:cs="Arial"/>
          <w:sz w:val="24"/>
          <w:szCs w:val="24"/>
        </w:rPr>
        <w:footnoteReference w:id="4"/>
      </w:r>
      <w:r w:rsidR="00F10613" w:rsidRPr="00B1779C">
        <w:rPr>
          <w:rFonts w:ascii="Arial Nova Light" w:hAnsi="Arial Nova Light" w:cs="Arial"/>
          <w:sz w:val="24"/>
          <w:szCs w:val="24"/>
        </w:rPr>
        <w:t xml:space="preserve">, </w:t>
      </w:r>
      <w:r w:rsidR="00F10613" w:rsidRPr="00B1779C">
        <w:rPr>
          <w:rFonts w:ascii="Arial Nova Light" w:hAnsi="Arial Nova Light" w:cs="Arial"/>
          <w:b/>
          <w:sz w:val="24"/>
          <w:szCs w:val="24"/>
        </w:rPr>
        <w:t xml:space="preserve">se acuerda: </w:t>
      </w:r>
    </w:p>
    <w:p w14:paraId="3385CEC2" w14:textId="3ACA0B07" w:rsidR="00397D44" w:rsidRPr="00B1779C" w:rsidRDefault="00CC4EE1" w:rsidP="00EB0187">
      <w:pPr>
        <w:pStyle w:val="Prrafodelista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 Nova Light" w:eastAsia="Times New Roman" w:hAnsi="Arial Nova Light" w:cs="Arial"/>
          <w:bCs/>
          <w:iCs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Se </w:t>
      </w:r>
      <w:r w:rsidR="00533F2A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reciben constancias</w:t>
      </w:r>
      <w:r w:rsidRPr="00B1779C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>.</w:t>
      </w:r>
      <w:r w:rsidRPr="00B1779C">
        <w:rPr>
          <w:rFonts w:ascii="Arial Nova Light" w:hAnsi="Arial Nova Light" w:cs="Arial"/>
          <w:sz w:val="24"/>
          <w:szCs w:val="24"/>
        </w:rPr>
        <w:t xml:space="preserve"> Se tiene por recibido oficio sin número, </w:t>
      </w:r>
      <w:r w:rsidR="00533F2A">
        <w:rPr>
          <w:rFonts w:ascii="Arial Nova Light" w:hAnsi="Arial Nova Light" w:cs="Arial"/>
          <w:sz w:val="24"/>
          <w:szCs w:val="24"/>
        </w:rPr>
        <w:t xml:space="preserve">con asunto </w:t>
      </w:r>
      <w:r w:rsidR="00533F2A">
        <w:rPr>
          <w:rFonts w:ascii="Arial Nova Light" w:hAnsi="Arial Nova Light" w:cs="Arial"/>
          <w:i/>
          <w:iCs/>
          <w:sz w:val="24"/>
          <w:szCs w:val="24"/>
        </w:rPr>
        <w:t xml:space="preserve">se solicita ampliación de término, </w:t>
      </w:r>
      <w:r w:rsidRPr="00B1779C">
        <w:rPr>
          <w:rFonts w:ascii="Arial Nova Light" w:hAnsi="Arial Nova Light" w:cs="Arial"/>
          <w:sz w:val="24"/>
          <w:szCs w:val="24"/>
        </w:rPr>
        <w:t xml:space="preserve">con fecha </w:t>
      </w:r>
      <w:r w:rsidR="004300AC">
        <w:rPr>
          <w:rFonts w:ascii="Arial Nova Light" w:hAnsi="Arial Nova Light" w:cs="Arial"/>
          <w:sz w:val="24"/>
          <w:szCs w:val="24"/>
        </w:rPr>
        <w:t>veinticinco de marzo</w:t>
      </w:r>
      <w:r w:rsidR="00334310" w:rsidRPr="00B1779C">
        <w:rPr>
          <w:rFonts w:ascii="Arial Nova Light" w:hAnsi="Arial Nova Light" w:cs="Arial"/>
          <w:sz w:val="24"/>
          <w:szCs w:val="24"/>
        </w:rPr>
        <w:t xml:space="preserve">, suscrito por </w:t>
      </w:r>
      <w:r w:rsidR="004300AC">
        <w:rPr>
          <w:rFonts w:ascii="Arial Nova Light" w:hAnsi="Arial Nova Light" w:cs="Arial"/>
          <w:sz w:val="24"/>
          <w:szCs w:val="24"/>
        </w:rPr>
        <w:t>el</w:t>
      </w:r>
      <w:r w:rsidR="00334310" w:rsidRPr="00B1779C">
        <w:rPr>
          <w:rFonts w:ascii="Arial Nova Light" w:hAnsi="Arial Nova Light" w:cs="Arial"/>
          <w:sz w:val="24"/>
          <w:szCs w:val="24"/>
        </w:rPr>
        <w:t xml:space="preserve"> </w:t>
      </w:r>
      <w:r w:rsidR="004300AC">
        <w:rPr>
          <w:rFonts w:ascii="Arial Nova Light" w:hAnsi="Arial Nova Light" w:cs="Arial"/>
          <w:sz w:val="24"/>
          <w:szCs w:val="24"/>
        </w:rPr>
        <w:t xml:space="preserve">Lic. Alan David Capetillo Salas, abogado autorizado por el promovente, </w:t>
      </w:r>
      <w:r w:rsidR="00397D44" w:rsidRPr="00B1779C">
        <w:rPr>
          <w:rFonts w:ascii="Arial Nova Light" w:hAnsi="Arial Nova Light" w:cs="Arial"/>
          <w:sz w:val="24"/>
          <w:szCs w:val="24"/>
        </w:rPr>
        <w:t xml:space="preserve">con el que </w:t>
      </w:r>
      <w:r w:rsidR="006C6B5F" w:rsidRPr="00B1779C">
        <w:rPr>
          <w:rFonts w:ascii="Arial Nova Light" w:hAnsi="Arial Nova Light" w:cs="Arial"/>
          <w:sz w:val="24"/>
          <w:szCs w:val="24"/>
        </w:rPr>
        <w:t>da cumplimiento al requerimiento</w:t>
      </w:r>
      <w:r w:rsidR="00CA6BFD">
        <w:rPr>
          <w:rFonts w:ascii="Arial Nova Light" w:hAnsi="Arial Nova Light" w:cs="Arial"/>
          <w:sz w:val="24"/>
          <w:szCs w:val="24"/>
        </w:rPr>
        <w:t xml:space="preserve"> notificado en fecha veinticuatro del mismo mes, </w:t>
      </w:r>
      <w:r w:rsidR="00521354" w:rsidRPr="00B1779C">
        <w:rPr>
          <w:rFonts w:ascii="Arial Nova Light" w:hAnsi="Arial Nova Light" w:cs="Arial"/>
          <w:sz w:val="24"/>
          <w:szCs w:val="24"/>
        </w:rPr>
        <w:t>emitido por esta autoridad Jurisdiccional</w:t>
      </w:r>
      <w:bookmarkEnd w:id="0"/>
      <w:r w:rsidR="00066837" w:rsidRPr="00B1779C">
        <w:rPr>
          <w:rFonts w:ascii="Arial Nova Light" w:hAnsi="Arial Nova Light" w:cs="Arial"/>
          <w:sz w:val="24"/>
          <w:szCs w:val="24"/>
        </w:rPr>
        <w:t xml:space="preserve">, </w:t>
      </w:r>
      <w:r w:rsidR="00CA6BFD">
        <w:rPr>
          <w:rFonts w:ascii="Arial Nova Light" w:hAnsi="Arial Nova Light" w:cs="Arial"/>
          <w:sz w:val="24"/>
          <w:szCs w:val="24"/>
        </w:rPr>
        <w:t>solicitando</w:t>
      </w:r>
      <w:r w:rsidR="00066837" w:rsidRPr="00B1779C">
        <w:rPr>
          <w:rFonts w:ascii="Arial Nova Light" w:hAnsi="Arial Nova Light" w:cs="Arial"/>
          <w:sz w:val="24"/>
          <w:szCs w:val="24"/>
        </w:rPr>
        <w:t xml:space="preserve"> lo siguiente: </w:t>
      </w:r>
    </w:p>
    <w:p w14:paraId="1E8F50FC" w14:textId="7E7C0076" w:rsidR="00397D44" w:rsidRDefault="00397D44" w:rsidP="00397D4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0"/>
        <w:jc w:val="both"/>
        <w:rPr>
          <w:rFonts w:ascii="Arial Nova Light" w:eastAsia="Times New Roman" w:hAnsi="Arial Nova Light" w:cs="Arial"/>
          <w:bCs/>
          <w:iCs/>
          <w:sz w:val="24"/>
          <w:szCs w:val="24"/>
          <w:lang w:val="es-ES_tradnl" w:eastAsia="es-ES"/>
        </w:rPr>
      </w:pPr>
    </w:p>
    <w:p w14:paraId="762A9EA8" w14:textId="771B3C77" w:rsidR="00CA6BFD" w:rsidRPr="004C4434" w:rsidRDefault="00CA6BFD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 xml:space="preserve">“el referido ciudadano (el promovente), se encuentra fuera </w:t>
      </w:r>
      <w:r w:rsidR="009E1D70"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del territorio del Estado por motivos de trabajo haciendo por tanto imposible que el mismo se presente ante esta autoridad dentro del término fijado de 24 horas…</w:t>
      </w:r>
    </w:p>
    <w:p w14:paraId="6AEBA900" w14:textId="03DB2D41" w:rsidR="009E1D70" w:rsidRPr="004C4434" w:rsidRDefault="004C4434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… se solicita tenga a bien extender en 48 horas el término fijado para la referida ratificación.</w:t>
      </w:r>
    </w:p>
    <w:p w14:paraId="0A63B7CF" w14:textId="75512B20" w:rsidR="004C4434" w:rsidRPr="004C4434" w:rsidRDefault="004C4434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…</w:t>
      </w:r>
    </w:p>
    <w:p w14:paraId="343A1274" w14:textId="5D79AD49" w:rsidR="004C4434" w:rsidRDefault="004C4434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  <w:proofErr w:type="spellStart"/>
      <w:r w:rsidRPr="004C4434">
        <w:rPr>
          <w:rFonts w:ascii="Arial Nova Light" w:eastAsia="Times New Roman" w:hAnsi="Arial Nova Light" w:cs="Arial"/>
          <w:b/>
          <w:i/>
          <w:sz w:val="24"/>
          <w:szCs w:val="24"/>
          <w:lang w:val="es-ES_tradnl" w:eastAsia="es-ES"/>
        </w:rPr>
        <w:t>UNICO</w:t>
      </w:r>
      <w:proofErr w:type="spellEnd"/>
      <w:r w:rsidRPr="004C4434">
        <w:rPr>
          <w:rFonts w:ascii="Arial Nova Light" w:eastAsia="Times New Roman" w:hAnsi="Arial Nova Light" w:cs="Arial"/>
          <w:b/>
          <w:i/>
          <w:sz w:val="24"/>
          <w:szCs w:val="24"/>
          <w:lang w:val="es-ES_tradnl" w:eastAsia="es-ES"/>
        </w:rPr>
        <w:t xml:space="preserve">. – </w:t>
      </w:r>
      <w:r w:rsidRPr="004C4434"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  <w:t>A partir de la presentación tenga a bien extender en 48 horas mas el término de 24 horas que fuera a mi representado le fuera notificado por mi persona en fecha 24 de marzo de 2021.”</w:t>
      </w:r>
    </w:p>
    <w:p w14:paraId="1FF9A383" w14:textId="77777777" w:rsidR="007E208C" w:rsidRPr="004C4434" w:rsidRDefault="007E208C" w:rsidP="004C4434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1134" w:right="1134"/>
        <w:jc w:val="both"/>
        <w:rPr>
          <w:rFonts w:ascii="Arial Nova Light" w:eastAsia="Times New Roman" w:hAnsi="Arial Nova Light" w:cs="Arial"/>
          <w:bCs/>
          <w:i/>
          <w:sz w:val="24"/>
          <w:szCs w:val="24"/>
          <w:lang w:val="es-ES_tradnl" w:eastAsia="es-ES"/>
        </w:rPr>
      </w:pPr>
    </w:p>
    <w:p w14:paraId="7EC80B2D" w14:textId="05A487AA" w:rsidR="0050285E" w:rsidRPr="00B1779C" w:rsidRDefault="007E208C" w:rsidP="00893640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lastRenderedPageBreak/>
        <w:t xml:space="preserve">Se acuerda la ampliación del término otorgado. </w:t>
      </w:r>
      <w:r>
        <w:rPr>
          <w:rFonts w:ascii="Arial Nova Light" w:eastAsia="Times New Roman" w:hAnsi="Arial Nova Light" w:cs="Arial"/>
          <w:sz w:val="24"/>
          <w:szCs w:val="24"/>
          <w:lang w:eastAsia="es-MX"/>
        </w:rPr>
        <w:t xml:space="preserve">En virtud de lo solicitado por el abogado del promovente, y en aras de garantizar el derecho de acceso a la justicia, se acuerda la </w:t>
      </w:r>
      <w:r w:rsidR="002602DE">
        <w:rPr>
          <w:rFonts w:ascii="Arial Nova Light" w:eastAsia="Times New Roman" w:hAnsi="Arial Nova Light" w:cs="Arial"/>
          <w:sz w:val="24"/>
          <w:szCs w:val="24"/>
          <w:lang w:eastAsia="es-MX"/>
        </w:rPr>
        <w:t xml:space="preserve">ampliación del término a 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48 horas, contadas a partir de 17:00 horas del día veinticinco de marzo, </w:t>
      </w:r>
      <w:r w:rsidR="002602DE">
        <w:rPr>
          <w:rFonts w:ascii="Arial Nova Light" w:eastAsia="Times New Roman" w:hAnsi="Arial Nova Light" w:cs="Arial"/>
          <w:b/>
          <w:bCs/>
          <w:i/>
          <w:iCs/>
          <w:sz w:val="24"/>
          <w:szCs w:val="24"/>
          <w:lang w:eastAsia="es-MX"/>
        </w:rPr>
        <w:t xml:space="preserve">fecha en la que se recibió la solicitud de ampliación, </w:t>
      </w:r>
      <w:r w:rsidR="002602D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por lo que el término ampliado fenece el día sábado veintisiete de marzo, </w:t>
      </w:r>
      <w:r w:rsidR="00D65BAE">
        <w:rPr>
          <w:rFonts w:ascii="Arial Nova Light" w:eastAsia="Times New Roman" w:hAnsi="Arial Nova Light" w:cs="Arial"/>
          <w:b/>
          <w:bCs/>
          <w:sz w:val="24"/>
          <w:szCs w:val="24"/>
          <w:lang w:eastAsia="es-MX"/>
        </w:rPr>
        <w:t xml:space="preserve">en punto de las 17:00 horas. </w:t>
      </w:r>
    </w:p>
    <w:tbl>
      <w:tblPr>
        <w:tblStyle w:val="Tablaconcuadrcula"/>
        <w:tblpPr w:leftFromText="141" w:rightFromText="141" w:vertAnchor="text" w:horzAnchor="margin" w:tblpXSpec="center" w:tblpY="1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989"/>
      </w:tblGrid>
      <w:tr w:rsidR="00EB0187" w:rsidRPr="00B1779C" w14:paraId="5670BD05" w14:textId="77777777" w:rsidTr="00CD3A75">
        <w:tc>
          <w:tcPr>
            <w:tcW w:w="3988" w:type="dxa"/>
          </w:tcPr>
          <w:p w14:paraId="5946D422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bookmarkStart w:id="1" w:name="_Hlk7697331"/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MAGISTRADA </w:t>
            </w:r>
          </w:p>
          <w:p w14:paraId="0D4513F1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2E1AB422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517D3CF0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4C97B30E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CLAUDIA ELOISA </w:t>
            </w:r>
          </w:p>
          <w:p w14:paraId="72BD0131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>DÍAZ DE LEÓN GONZÁLEZ</w:t>
            </w:r>
          </w:p>
        </w:tc>
        <w:tc>
          <w:tcPr>
            <w:tcW w:w="3989" w:type="dxa"/>
          </w:tcPr>
          <w:p w14:paraId="57E39E39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SECRETARIO DE ESTUDIO </w:t>
            </w:r>
          </w:p>
          <w:p w14:paraId="5239E06D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116388C5" w14:textId="77777777" w:rsidR="00EB0187" w:rsidRPr="00B1779C" w:rsidRDefault="00EB0187" w:rsidP="00CD3A75">
            <w:pPr>
              <w:spacing w:after="0" w:line="360" w:lineRule="auto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3282B8DF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  <w:p w14:paraId="5BFB0B8A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 xml:space="preserve">NÉSTOR ENRIQUE </w:t>
            </w:r>
          </w:p>
          <w:p w14:paraId="48F6A6BE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B1779C">
              <w:rPr>
                <w:rFonts w:ascii="Arial Nova Light" w:hAnsi="Arial Nova Light" w:cs="Arial"/>
                <w:b/>
                <w:sz w:val="24"/>
                <w:szCs w:val="24"/>
              </w:rPr>
              <w:t>RIVERA LÓPEZ</w:t>
            </w:r>
          </w:p>
          <w:p w14:paraId="3967994C" w14:textId="77777777" w:rsidR="00EB0187" w:rsidRPr="00B1779C" w:rsidRDefault="00EB0187" w:rsidP="00CD3A75">
            <w:pPr>
              <w:spacing w:after="0" w:line="360" w:lineRule="auto"/>
              <w:jc w:val="center"/>
              <w:rPr>
                <w:rFonts w:ascii="Arial Nova Light" w:hAnsi="Arial Nova Light" w:cs="Arial"/>
                <w:b/>
                <w:sz w:val="24"/>
                <w:szCs w:val="24"/>
              </w:rPr>
            </w:pPr>
          </w:p>
        </w:tc>
      </w:tr>
    </w:tbl>
    <w:bookmarkEnd w:id="1"/>
    <w:p w14:paraId="2FD3B4C7" w14:textId="77777777" w:rsidR="00CD3A75" w:rsidRPr="00B1779C" w:rsidRDefault="00907C16" w:rsidP="00CD3A75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hAnsi="Arial Nova Light" w:cs="Arial"/>
          <w:sz w:val="24"/>
          <w:szCs w:val="24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Así lo proveyó y firma la Magistrada del Tribunal Electoral del Estado de Aguascalientes, ante su </w:t>
      </w:r>
      <w:r w:rsidR="00575070"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>Secretario</w:t>
      </w: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de Estudio, quien da fe</w:t>
      </w:r>
      <w:r w:rsidRPr="00B1779C">
        <w:rPr>
          <w:rFonts w:ascii="Arial Nova Light" w:hAnsi="Arial Nova Light" w:cs="Arial"/>
          <w:sz w:val="24"/>
          <w:szCs w:val="24"/>
        </w:rPr>
        <w:t>. ---------------------</w:t>
      </w:r>
      <w:r w:rsidR="00CD3A75" w:rsidRPr="00B1779C">
        <w:rPr>
          <w:rFonts w:ascii="Arial Nova Light" w:hAnsi="Arial Nova Light" w:cs="Arial"/>
          <w:sz w:val="24"/>
          <w:szCs w:val="24"/>
        </w:rPr>
        <w:t>------------------------</w:t>
      </w:r>
    </w:p>
    <w:p w14:paraId="5FF5D2ED" w14:textId="2A2A322D" w:rsidR="00CD3A75" w:rsidRPr="00B1779C" w:rsidRDefault="00CD3A75" w:rsidP="00CD3A75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hAnsi="Arial Nova Light" w:cs="Arial"/>
          <w:i/>
          <w:iCs/>
          <w:sz w:val="24"/>
          <w:szCs w:val="24"/>
        </w:rPr>
      </w:pPr>
      <w:r w:rsidRPr="00B1779C">
        <w:rPr>
          <w:rFonts w:ascii="Arial Nova Light" w:eastAsia="Times New Roman" w:hAnsi="Arial Nova Light" w:cs="Arial"/>
          <w:b/>
          <w:sz w:val="24"/>
          <w:szCs w:val="24"/>
          <w:lang w:val="es-ES_tradnl" w:eastAsia="es-ES"/>
        </w:rPr>
        <w:t xml:space="preserve">NOTIFÍQUESE. </w:t>
      </w:r>
    </w:p>
    <w:p w14:paraId="2114DE67" w14:textId="74A9B62C" w:rsidR="00907C16" w:rsidRPr="00B1779C" w:rsidRDefault="00907C16" w:rsidP="00EB0187">
      <w:pPr>
        <w:spacing w:before="100" w:beforeAutospacing="1" w:after="100" w:afterAutospacing="1" w:line="360" w:lineRule="auto"/>
        <w:jc w:val="both"/>
        <w:rPr>
          <w:rFonts w:ascii="Arial Nova Light" w:hAnsi="Arial Nova Light" w:cs="Arial"/>
          <w:sz w:val="24"/>
          <w:szCs w:val="24"/>
        </w:rPr>
      </w:pPr>
    </w:p>
    <w:p w14:paraId="1CC7D48E" w14:textId="77777777" w:rsidR="00424FDD" w:rsidRPr="00B1779C" w:rsidRDefault="00424FDD" w:rsidP="00EB0187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Arial Nova Light" w:eastAsia="Times New Roman" w:hAnsi="Arial Nova Light" w:cs="Arial"/>
          <w:bCs/>
          <w:i/>
          <w:iCs/>
          <w:sz w:val="24"/>
          <w:szCs w:val="24"/>
          <w:lang w:eastAsia="es-ES"/>
        </w:rPr>
      </w:pPr>
    </w:p>
    <w:p w14:paraId="4E898443" w14:textId="27FB7FC5" w:rsidR="00F10613" w:rsidRPr="00B1779C" w:rsidRDefault="00D81FC7" w:rsidP="00EB0187">
      <w:pPr>
        <w:spacing w:before="100" w:beforeAutospacing="1" w:after="100" w:afterAutospacing="1" w:line="360" w:lineRule="auto"/>
        <w:ind w:left="-1134"/>
        <w:jc w:val="both"/>
        <w:rPr>
          <w:rFonts w:ascii="Arial Nova Light" w:eastAsia="Times New Roman" w:hAnsi="Arial Nova Light" w:cs="Arial"/>
          <w:sz w:val="24"/>
          <w:szCs w:val="24"/>
          <w:lang w:val="es-ES_tradnl" w:eastAsia="es-ES"/>
        </w:rPr>
      </w:pPr>
      <w:r w:rsidRPr="00B1779C">
        <w:rPr>
          <w:rFonts w:ascii="Arial Nova Light" w:eastAsia="Times New Roman" w:hAnsi="Arial Nova Light" w:cs="Arial"/>
          <w:sz w:val="24"/>
          <w:szCs w:val="24"/>
          <w:lang w:val="es-ES_tradnl" w:eastAsia="es-ES"/>
        </w:rPr>
        <w:t xml:space="preserve">     </w:t>
      </w:r>
    </w:p>
    <w:sectPr w:rsidR="00F10613" w:rsidRPr="00B1779C" w:rsidSect="00EB0187">
      <w:headerReference w:type="default" r:id="rId8"/>
      <w:pgSz w:w="12240" w:h="20160" w:code="5"/>
      <w:pgMar w:top="2977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6F09" w14:textId="77777777" w:rsidR="004B5F77" w:rsidRDefault="004B5F77" w:rsidP="00F10613">
      <w:pPr>
        <w:spacing w:after="0" w:line="240" w:lineRule="auto"/>
      </w:pPr>
      <w:r>
        <w:separator/>
      </w:r>
    </w:p>
  </w:endnote>
  <w:endnote w:type="continuationSeparator" w:id="0">
    <w:p w14:paraId="536056BE" w14:textId="77777777" w:rsidR="004B5F77" w:rsidRDefault="004B5F77" w:rsidP="00F1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8F45" w14:textId="77777777" w:rsidR="004B5F77" w:rsidRDefault="004B5F77" w:rsidP="00F10613">
      <w:pPr>
        <w:spacing w:after="0" w:line="240" w:lineRule="auto"/>
      </w:pPr>
      <w:r>
        <w:separator/>
      </w:r>
    </w:p>
  </w:footnote>
  <w:footnote w:type="continuationSeparator" w:id="0">
    <w:p w14:paraId="293CE00A" w14:textId="77777777" w:rsidR="004B5F77" w:rsidRDefault="004B5F77" w:rsidP="00F10613">
      <w:pPr>
        <w:spacing w:after="0" w:line="240" w:lineRule="auto"/>
      </w:pPr>
      <w:r>
        <w:continuationSeparator/>
      </w:r>
    </w:p>
  </w:footnote>
  <w:footnote w:id="1">
    <w:p w14:paraId="0B170075" w14:textId="64350BE0" w:rsidR="00B1779C" w:rsidRDefault="00B1779C">
      <w:pPr>
        <w:pStyle w:val="Textonotapie"/>
      </w:pPr>
      <w:r>
        <w:rPr>
          <w:rStyle w:val="Refdenotaalpie"/>
        </w:rPr>
        <w:footnoteRef/>
      </w:r>
      <w:r>
        <w:t xml:space="preserve"> Encargado de despacho de la Secretaría de Estudio de la Ponencia I, del TEEA. </w:t>
      </w:r>
    </w:p>
  </w:footnote>
  <w:footnote w:id="2">
    <w:p w14:paraId="1592D876" w14:textId="77777777" w:rsidR="00F10613" w:rsidRPr="000A49BD" w:rsidRDefault="00F10613" w:rsidP="00F10613">
      <w:pPr>
        <w:pStyle w:val="Textonotapie"/>
        <w:rPr>
          <w:rFonts w:ascii="Arial Nova" w:hAnsi="Arial Nova" w:cs="Arial"/>
          <w:sz w:val="16"/>
          <w:szCs w:val="16"/>
        </w:rPr>
      </w:pPr>
      <w:r w:rsidRPr="000A49BD">
        <w:rPr>
          <w:rStyle w:val="Refdenotaalpie"/>
          <w:rFonts w:ascii="Arial Nova" w:hAnsi="Arial Nova" w:cs="Arial"/>
          <w:sz w:val="16"/>
          <w:szCs w:val="16"/>
        </w:rPr>
        <w:footnoteRef/>
      </w:r>
      <w:r w:rsidRPr="000A49BD">
        <w:rPr>
          <w:rFonts w:ascii="Arial Nova" w:hAnsi="Arial Nova" w:cs="Arial"/>
          <w:sz w:val="16"/>
          <w:szCs w:val="16"/>
        </w:rPr>
        <w:t xml:space="preserve"> Código Electoral del Estado de Aguascalientes, en lo sucesivo, </w:t>
      </w:r>
      <w:r w:rsidRPr="000A49BD">
        <w:rPr>
          <w:rFonts w:ascii="Arial Nova" w:hAnsi="Arial Nova" w:cs="Arial"/>
          <w:b/>
          <w:sz w:val="16"/>
          <w:szCs w:val="16"/>
        </w:rPr>
        <w:t xml:space="preserve">Código Electoral. </w:t>
      </w:r>
    </w:p>
  </w:footnote>
  <w:footnote w:id="3">
    <w:p w14:paraId="3D86EA4E" w14:textId="77777777" w:rsidR="00F10613" w:rsidRPr="000A49BD" w:rsidRDefault="00F10613" w:rsidP="00F10613">
      <w:pPr>
        <w:pStyle w:val="Textonotapie"/>
        <w:rPr>
          <w:rFonts w:ascii="Arial Nova" w:hAnsi="Arial Nova" w:cs="Arial"/>
          <w:sz w:val="16"/>
          <w:szCs w:val="16"/>
        </w:rPr>
      </w:pPr>
      <w:r w:rsidRPr="000A49BD">
        <w:rPr>
          <w:rStyle w:val="Refdenotaalpie"/>
          <w:rFonts w:ascii="Arial Nova" w:hAnsi="Arial Nova" w:cs="Arial"/>
          <w:sz w:val="16"/>
          <w:szCs w:val="16"/>
        </w:rPr>
        <w:footnoteRef/>
      </w:r>
      <w:r w:rsidRPr="000A49BD">
        <w:rPr>
          <w:rFonts w:ascii="Arial Nova" w:hAnsi="Arial Nova" w:cs="Arial"/>
          <w:sz w:val="16"/>
          <w:szCs w:val="16"/>
        </w:rPr>
        <w:t xml:space="preserve"> Reglamento Interior del Tribunal Electoral del Estado de Aguascalientes, en lo sucesivo, </w:t>
      </w:r>
      <w:r w:rsidRPr="000A49BD">
        <w:rPr>
          <w:rFonts w:ascii="Arial Nova" w:hAnsi="Arial Nova" w:cs="Arial"/>
          <w:b/>
          <w:sz w:val="16"/>
          <w:szCs w:val="16"/>
        </w:rPr>
        <w:t>Reglamento Interior.</w:t>
      </w:r>
      <w:r w:rsidRPr="000A49BD">
        <w:rPr>
          <w:rFonts w:ascii="Arial Nova" w:hAnsi="Arial Nova" w:cs="Arial"/>
          <w:sz w:val="16"/>
          <w:szCs w:val="16"/>
        </w:rPr>
        <w:t xml:space="preserve"> </w:t>
      </w:r>
    </w:p>
  </w:footnote>
  <w:footnote w:id="4">
    <w:p w14:paraId="34A7F244" w14:textId="033A0A7A" w:rsidR="00B53D69" w:rsidRPr="000A49BD" w:rsidRDefault="00F10613" w:rsidP="00F10613">
      <w:pPr>
        <w:pStyle w:val="Textonotapie"/>
        <w:jc w:val="both"/>
        <w:rPr>
          <w:rFonts w:ascii="Arial Nova" w:hAnsi="Arial Nova" w:cs="Arial"/>
          <w:sz w:val="16"/>
          <w:szCs w:val="16"/>
        </w:rPr>
      </w:pPr>
      <w:r w:rsidRPr="000A49BD">
        <w:rPr>
          <w:rStyle w:val="Refdenotaalpie"/>
          <w:rFonts w:ascii="Arial Nova" w:hAnsi="Arial Nova" w:cs="Arial"/>
          <w:sz w:val="16"/>
          <w:szCs w:val="16"/>
        </w:rPr>
        <w:footnoteRef/>
      </w:r>
      <w:r w:rsidRPr="000A49BD">
        <w:rPr>
          <w:rFonts w:ascii="Arial Nova" w:hAnsi="Arial Nova" w:cs="Arial"/>
          <w:sz w:val="16"/>
          <w:szCs w:val="16"/>
        </w:rPr>
        <w:t xml:space="preserve"> Lineamientos para la Tramitación, Sustanciación y Resolución del Juicio para la Protección de los Derechos Político-Electorales del Ciudadano, el Juicio Electoral, y Asunto General, competencia del Tribunal Electoral del Estado de Aguascalientes, en lo sucesivo, </w:t>
      </w:r>
      <w:r w:rsidRPr="000A49BD">
        <w:rPr>
          <w:rFonts w:ascii="Arial Nova" w:hAnsi="Arial Nova" w:cs="Arial"/>
          <w:b/>
          <w:sz w:val="16"/>
          <w:szCs w:val="16"/>
        </w:rPr>
        <w:t>Lineamientos.</w:t>
      </w:r>
      <w:r w:rsidRPr="000A49BD">
        <w:rPr>
          <w:rFonts w:ascii="Arial Nova" w:hAnsi="Arial Nova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7CE6" w14:textId="77777777" w:rsidR="003212EF" w:rsidRDefault="009F6C39" w:rsidP="003212EF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99E543F" wp14:editId="5A12CA0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180011" cy="1404745"/>
          <wp:effectExtent l="0" t="0" r="127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1074093628"/>
        <w:docPartObj>
          <w:docPartGallery w:val="Page Numbers (Margins)"/>
          <w:docPartUnique/>
        </w:docPartObj>
      </w:sdtPr>
      <w:sdtEndPr/>
      <w:sdtContent>
        <w:r w:rsidRPr="00932419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DC6F64" wp14:editId="2CAA1FC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7" name="Rectángul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FAA9" w14:textId="77777777" w:rsidR="003212EF" w:rsidRPr="00932419" w:rsidRDefault="003212EF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DC6F64" id="Rectángulo 37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oRpn7goCAADpAwAADgAA&#10;AAAAAAAAAAAAAAAuAgAAZHJzL2Uyb0RvYy54bWxQSwECLQAUAAYACAAAACEAbNUf09kAAAAFAQAA&#10;DwAAAAAAAAAAAAAAAABkBAAAZHJzL2Rvd25yZXYueG1sUEsFBgAAAAAEAAQA8wAAAGoFAAAAAA==&#10;" o:allowincell="f" stroked="f">
                  <v:textbox>
                    <w:txbxContent>
                      <w:p w14:paraId="396AFAA9" w14:textId="77777777" w:rsidR="003212EF" w:rsidRPr="00932419" w:rsidRDefault="003212EF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7982378D" w14:textId="77777777" w:rsidR="003212EF" w:rsidRPr="00A46BD3" w:rsidRDefault="009F6C39" w:rsidP="003212EF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139A1EAE" w14:textId="77777777" w:rsidR="003212EF" w:rsidRPr="00A46BD3" w:rsidRDefault="009F6C39" w:rsidP="003212EF">
    <w:pPr>
      <w:pStyle w:val="Encabezado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520A"/>
    <w:multiLevelType w:val="hybridMultilevel"/>
    <w:tmpl w:val="04DE23AE"/>
    <w:lvl w:ilvl="0" w:tplc="0DBEA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i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F9D"/>
    <w:multiLevelType w:val="hybridMultilevel"/>
    <w:tmpl w:val="B9A2FD3E"/>
    <w:lvl w:ilvl="0" w:tplc="F5A8E4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B5C"/>
    <w:multiLevelType w:val="hybridMultilevel"/>
    <w:tmpl w:val="7B5639D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8AB"/>
    <w:multiLevelType w:val="hybridMultilevel"/>
    <w:tmpl w:val="C2082A0A"/>
    <w:lvl w:ilvl="0" w:tplc="0E008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096"/>
    <w:multiLevelType w:val="hybridMultilevel"/>
    <w:tmpl w:val="040209AC"/>
    <w:lvl w:ilvl="0" w:tplc="790A092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1F16"/>
    <w:multiLevelType w:val="hybridMultilevel"/>
    <w:tmpl w:val="63C022D6"/>
    <w:lvl w:ilvl="0" w:tplc="E93644BC">
      <w:start w:val="1"/>
      <w:numFmt w:val="lowerLetter"/>
      <w:lvlText w:val="%1."/>
      <w:lvlJc w:val="left"/>
      <w:pPr>
        <w:ind w:left="720" w:hanging="360"/>
      </w:pPr>
      <w:rPr>
        <w:rFonts w:ascii="Arial Nova" w:eastAsiaTheme="minorHAnsi" w:hAnsi="Arial Nova" w:cs="Arial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7E6C"/>
    <w:multiLevelType w:val="hybridMultilevel"/>
    <w:tmpl w:val="68BC5D8C"/>
    <w:lvl w:ilvl="0" w:tplc="3D02CB5E">
      <w:start w:val="2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13"/>
    <w:rsid w:val="000572BE"/>
    <w:rsid w:val="00063260"/>
    <w:rsid w:val="00066837"/>
    <w:rsid w:val="000908C7"/>
    <w:rsid w:val="000C2E1F"/>
    <w:rsid w:val="000D38A3"/>
    <w:rsid w:val="001022AB"/>
    <w:rsid w:val="00110601"/>
    <w:rsid w:val="0014200A"/>
    <w:rsid w:val="00151729"/>
    <w:rsid w:val="001D48CC"/>
    <w:rsid w:val="001D51BB"/>
    <w:rsid w:val="002366FB"/>
    <w:rsid w:val="002602DE"/>
    <w:rsid w:val="00272E7E"/>
    <w:rsid w:val="00281AAA"/>
    <w:rsid w:val="003212EF"/>
    <w:rsid w:val="003271A6"/>
    <w:rsid w:val="00334310"/>
    <w:rsid w:val="00335658"/>
    <w:rsid w:val="003736B9"/>
    <w:rsid w:val="00397D44"/>
    <w:rsid w:val="003B7846"/>
    <w:rsid w:val="003E61B0"/>
    <w:rsid w:val="00400A28"/>
    <w:rsid w:val="00420594"/>
    <w:rsid w:val="00424FDD"/>
    <w:rsid w:val="004300AC"/>
    <w:rsid w:val="00444DF9"/>
    <w:rsid w:val="004A7245"/>
    <w:rsid w:val="004B5F77"/>
    <w:rsid w:val="004C1398"/>
    <w:rsid w:val="004C4434"/>
    <w:rsid w:val="004F4F99"/>
    <w:rsid w:val="0050285E"/>
    <w:rsid w:val="00521354"/>
    <w:rsid w:val="00530BB0"/>
    <w:rsid w:val="00533F2A"/>
    <w:rsid w:val="0054302D"/>
    <w:rsid w:val="00543E1E"/>
    <w:rsid w:val="00552B63"/>
    <w:rsid w:val="00575070"/>
    <w:rsid w:val="00607CF3"/>
    <w:rsid w:val="00610739"/>
    <w:rsid w:val="006343C6"/>
    <w:rsid w:val="0064790A"/>
    <w:rsid w:val="00660CA2"/>
    <w:rsid w:val="006A5D43"/>
    <w:rsid w:val="006C6B5F"/>
    <w:rsid w:val="006F35F2"/>
    <w:rsid w:val="00731A9C"/>
    <w:rsid w:val="007466D2"/>
    <w:rsid w:val="007E208C"/>
    <w:rsid w:val="00804DCC"/>
    <w:rsid w:val="00806122"/>
    <w:rsid w:val="008733DF"/>
    <w:rsid w:val="00893640"/>
    <w:rsid w:val="008B5BBD"/>
    <w:rsid w:val="008E06BE"/>
    <w:rsid w:val="008F304B"/>
    <w:rsid w:val="00907C16"/>
    <w:rsid w:val="009114D1"/>
    <w:rsid w:val="00964378"/>
    <w:rsid w:val="009B2A8A"/>
    <w:rsid w:val="009D4949"/>
    <w:rsid w:val="009E1D70"/>
    <w:rsid w:val="009F64EA"/>
    <w:rsid w:val="009F6C39"/>
    <w:rsid w:val="00A334C1"/>
    <w:rsid w:val="00A375C6"/>
    <w:rsid w:val="00A37F7A"/>
    <w:rsid w:val="00A911CA"/>
    <w:rsid w:val="00AD2EC6"/>
    <w:rsid w:val="00B1779C"/>
    <w:rsid w:val="00B53D69"/>
    <w:rsid w:val="00B84F79"/>
    <w:rsid w:val="00BA5D05"/>
    <w:rsid w:val="00BA7E7F"/>
    <w:rsid w:val="00BE1C03"/>
    <w:rsid w:val="00C208EC"/>
    <w:rsid w:val="00C32B0E"/>
    <w:rsid w:val="00C93EFC"/>
    <w:rsid w:val="00CA6BFD"/>
    <w:rsid w:val="00CC4EE1"/>
    <w:rsid w:val="00CC5D41"/>
    <w:rsid w:val="00CD3A75"/>
    <w:rsid w:val="00CF0222"/>
    <w:rsid w:val="00D04F85"/>
    <w:rsid w:val="00D15854"/>
    <w:rsid w:val="00D51235"/>
    <w:rsid w:val="00D65BAE"/>
    <w:rsid w:val="00D80C9A"/>
    <w:rsid w:val="00D81FC7"/>
    <w:rsid w:val="00DD5B7A"/>
    <w:rsid w:val="00DF3079"/>
    <w:rsid w:val="00E15663"/>
    <w:rsid w:val="00E227EE"/>
    <w:rsid w:val="00E52E06"/>
    <w:rsid w:val="00E91C3F"/>
    <w:rsid w:val="00E9556D"/>
    <w:rsid w:val="00EB0187"/>
    <w:rsid w:val="00EF678D"/>
    <w:rsid w:val="00F10613"/>
    <w:rsid w:val="00F11465"/>
    <w:rsid w:val="00F35775"/>
    <w:rsid w:val="00F55CE4"/>
    <w:rsid w:val="00F86AC8"/>
    <w:rsid w:val="00FB6A91"/>
    <w:rsid w:val="00FC30E4"/>
    <w:rsid w:val="00FC6477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86D0"/>
  <w15:chartTrackingRefBased/>
  <w15:docId w15:val="{FEB6182A-4FBF-41C2-87A1-86557F9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613"/>
  </w:style>
  <w:style w:type="table" w:styleId="Tablaconcuadrcula">
    <w:name w:val="Table Grid"/>
    <w:basedOn w:val="Tablanormal"/>
    <w:uiPriority w:val="39"/>
    <w:rsid w:val="00F1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106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6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6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06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061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53D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3D6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5AC-06C1-420D-8266-F326645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1</dc:creator>
  <cp:keywords/>
  <dc:description/>
  <cp:lastModifiedBy>Secretario 1</cp:lastModifiedBy>
  <cp:revision>2</cp:revision>
  <cp:lastPrinted>2021-03-27T01:20:00Z</cp:lastPrinted>
  <dcterms:created xsi:type="dcterms:W3CDTF">2021-03-27T01:21:00Z</dcterms:created>
  <dcterms:modified xsi:type="dcterms:W3CDTF">2021-03-27T01:21:00Z</dcterms:modified>
</cp:coreProperties>
</file>